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77/981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5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5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5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5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419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LibreOffice/7.3.7.2$Linux_X86_64 LibreOffice_project/30$Build-2</Application>
  <AppVersion>15.0000</AppVersion>
  <Pages>2</Pages>
  <Words>233</Words>
  <Characters>1690</Characters>
  <CharactersWithSpaces>1966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2025-06-19T19:44:36Z</cp:lastPrinted>
  <dcterms:modified xsi:type="dcterms:W3CDTF">2025-06-23T10:30:31Z</dcterms:modified>
  <cp:revision>74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